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AE894">
      <w:pPr>
        <w:jc w:val="center"/>
        <w:rPr>
          <w:rFonts w:ascii="仿宋" w:hAnsi="仿宋" w:eastAsia="仿宋" w:cs="仿宋"/>
          <w:sz w:val="48"/>
          <w:szCs w:val="48"/>
        </w:rPr>
      </w:pPr>
      <w:r>
        <w:rPr>
          <w:rFonts w:hint="eastAsia" w:ascii="仿宋" w:hAnsi="仿宋" w:eastAsia="仿宋" w:cs="仿宋"/>
          <w:sz w:val="48"/>
          <w:szCs w:val="48"/>
        </w:rPr>
        <w:t>202</w:t>
      </w:r>
      <w:r>
        <w:rPr>
          <w:rFonts w:ascii="仿宋" w:hAnsi="仿宋" w:eastAsia="仿宋" w:cs="仿宋"/>
          <w:sz w:val="48"/>
          <w:szCs w:val="48"/>
        </w:rPr>
        <w:t>4</w:t>
      </w:r>
      <w:r>
        <w:rPr>
          <w:rFonts w:hint="eastAsia" w:ascii="仿宋" w:hAnsi="仿宋" w:eastAsia="仿宋" w:cs="仿宋"/>
          <w:sz w:val="48"/>
          <w:szCs w:val="48"/>
        </w:rPr>
        <w:t>年度</w:t>
      </w:r>
      <w:r>
        <w:rPr>
          <w:rFonts w:hint="eastAsia" w:ascii="仿宋" w:hAnsi="仿宋" w:eastAsia="仿宋" w:cs="仿宋"/>
          <w:sz w:val="48"/>
          <w:szCs w:val="48"/>
          <w:lang w:eastAsia="zh-CN"/>
        </w:rPr>
        <w:t>长春镇</w:t>
      </w:r>
      <w:r>
        <w:rPr>
          <w:rFonts w:hint="eastAsia" w:ascii="仿宋" w:hAnsi="仿宋" w:eastAsia="仿宋" w:cs="仿宋"/>
          <w:sz w:val="48"/>
          <w:szCs w:val="48"/>
        </w:rPr>
        <w:t>部门整体支出</w:t>
      </w:r>
    </w:p>
    <w:p w14:paraId="592EC4AB">
      <w:pPr>
        <w:jc w:val="center"/>
        <w:rPr>
          <w:rFonts w:ascii="仿宋" w:hAnsi="仿宋" w:eastAsia="仿宋" w:cs="仿宋"/>
          <w:sz w:val="48"/>
          <w:szCs w:val="48"/>
        </w:rPr>
      </w:pPr>
      <w:r>
        <w:rPr>
          <w:rFonts w:hint="eastAsia" w:ascii="仿宋" w:hAnsi="仿宋" w:eastAsia="仿宋" w:cs="仿宋"/>
          <w:sz w:val="48"/>
          <w:szCs w:val="48"/>
        </w:rPr>
        <w:t>绩效自评报告</w:t>
      </w:r>
    </w:p>
    <w:p w14:paraId="4CE934F7">
      <w:pPr>
        <w:jc w:val="center"/>
        <w:rPr>
          <w:rFonts w:ascii="仿宋" w:hAnsi="仿宋" w:eastAsia="仿宋" w:cs="仿宋"/>
          <w:szCs w:val="32"/>
        </w:rPr>
      </w:pPr>
    </w:p>
    <w:p w14:paraId="7E8B3CF4">
      <w:pPr>
        <w:jc w:val="center"/>
        <w:rPr>
          <w:rFonts w:ascii="仿宋" w:hAnsi="仿宋" w:eastAsia="仿宋" w:cs="仿宋"/>
          <w:szCs w:val="32"/>
        </w:rPr>
      </w:pPr>
    </w:p>
    <w:p w14:paraId="25CCD319">
      <w:pPr>
        <w:jc w:val="center"/>
        <w:rPr>
          <w:rFonts w:ascii="仿宋" w:hAnsi="仿宋" w:eastAsia="仿宋" w:cs="仿宋"/>
          <w:szCs w:val="32"/>
        </w:rPr>
      </w:pPr>
    </w:p>
    <w:p w14:paraId="0F798CD7">
      <w:pPr>
        <w:jc w:val="center"/>
        <w:rPr>
          <w:rFonts w:ascii="仿宋" w:hAnsi="仿宋" w:eastAsia="仿宋" w:cs="仿宋"/>
          <w:szCs w:val="32"/>
        </w:rPr>
      </w:pPr>
    </w:p>
    <w:p w14:paraId="7CE95153">
      <w:pPr>
        <w:jc w:val="center"/>
        <w:rPr>
          <w:rFonts w:ascii="仿宋" w:hAnsi="仿宋" w:eastAsia="仿宋" w:cs="仿宋"/>
          <w:szCs w:val="32"/>
        </w:rPr>
      </w:pPr>
    </w:p>
    <w:p w14:paraId="54126E23">
      <w:pPr>
        <w:jc w:val="center"/>
        <w:rPr>
          <w:rFonts w:ascii="仿宋" w:hAnsi="仿宋" w:eastAsia="仿宋" w:cs="仿宋"/>
          <w:szCs w:val="32"/>
        </w:rPr>
      </w:pPr>
    </w:p>
    <w:p w14:paraId="2DE263DA">
      <w:pPr>
        <w:jc w:val="center"/>
        <w:rPr>
          <w:rFonts w:ascii="仿宋" w:hAnsi="仿宋" w:eastAsia="仿宋" w:cs="仿宋"/>
          <w:szCs w:val="32"/>
        </w:rPr>
      </w:pPr>
    </w:p>
    <w:p w14:paraId="24DC4FDB">
      <w:pPr>
        <w:ind w:firstLine="880" w:firstLineChars="200"/>
        <w:jc w:val="center"/>
        <w:rPr>
          <w:rFonts w:ascii="仿宋" w:hAnsi="仿宋" w:eastAsia="仿宋" w:cs="仿宋"/>
          <w:sz w:val="44"/>
          <w:szCs w:val="44"/>
        </w:rPr>
      </w:pPr>
    </w:p>
    <w:p w14:paraId="6A59DE01">
      <w:pPr>
        <w:ind w:firstLine="880" w:firstLineChars="200"/>
        <w:jc w:val="center"/>
        <w:rPr>
          <w:rFonts w:ascii="仿宋" w:hAnsi="仿宋" w:eastAsia="仿宋" w:cs="仿宋"/>
          <w:sz w:val="44"/>
          <w:szCs w:val="44"/>
        </w:rPr>
      </w:pPr>
    </w:p>
    <w:p w14:paraId="24AFF160">
      <w:pPr>
        <w:ind w:firstLine="880" w:firstLineChars="200"/>
        <w:jc w:val="center"/>
        <w:rPr>
          <w:rFonts w:ascii="仿宋" w:hAnsi="仿宋" w:eastAsia="仿宋" w:cs="仿宋"/>
          <w:sz w:val="44"/>
          <w:szCs w:val="44"/>
        </w:rPr>
      </w:pPr>
    </w:p>
    <w:p w14:paraId="21FE3232">
      <w:pPr>
        <w:ind w:firstLine="720" w:firstLineChars="200"/>
        <w:rPr>
          <w:rFonts w:ascii="仿宋" w:hAnsi="仿宋" w:eastAsia="仿宋" w:cs="仿宋"/>
          <w:sz w:val="36"/>
          <w:szCs w:val="36"/>
        </w:rPr>
      </w:pPr>
    </w:p>
    <w:p w14:paraId="3D6EFCD2">
      <w:pPr>
        <w:ind w:firstLine="720" w:firstLineChars="200"/>
        <w:rPr>
          <w:rFonts w:ascii="仿宋" w:hAnsi="仿宋" w:eastAsia="仿宋" w:cs="仿宋"/>
          <w:sz w:val="36"/>
          <w:szCs w:val="36"/>
        </w:rPr>
      </w:pPr>
    </w:p>
    <w:p w14:paraId="5FAC5D6B">
      <w:pPr>
        <w:ind w:firstLine="720" w:firstLineChars="200"/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部门（单位）名称： </w:t>
      </w:r>
      <w:r>
        <w:rPr>
          <w:rFonts w:hint="eastAsia" w:ascii="仿宋" w:hAnsi="仿宋" w:eastAsia="仿宋" w:cs="仿宋"/>
          <w:sz w:val="36"/>
          <w:szCs w:val="36"/>
          <w:u w:val="single"/>
        </w:rPr>
        <w:t>资阳区</w:t>
      </w:r>
      <w:r>
        <w:rPr>
          <w:rFonts w:hint="eastAsia" w:ascii="仿宋" w:hAnsi="仿宋" w:eastAsia="仿宋" w:cs="仿宋"/>
          <w:sz w:val="36"/>
          <w:szCs w:val="36"/>
          <w:u w:val="single"/>
          <w:lang w:eastAsia="zh-CN"/>
        </w:rPr>
        <w:t>长春镇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人民政府       </w:t>
      </w:r>
    </w:p>
    <w:p w14:paraId="1A02F4F6">
      <w:pPr>
        <w:ind w:firstLine="3240" w:firstLineChars="900"/>
        <w:rPr>
          <w:rFonts w:ascii="仿宋" w:hAnsi="仿宋" w:eastAsia="仿宋" w:cs="仿宋"/>
          <w:sz w:val="36"/>
          <w:szCs w:val="36"/>
        </w:rPr>
      </w:pPr>
    </w:p>
    <w:p w14:paraId="4B40B72F">
      <w:pPr>
        <w:ind w:firstLine="3240" w:firstLineChars="900"/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202</w:t>
      </w:r>
      <w:r>
        <w:rPr>
          <w:rFonts w:ascii="仿宋" w:hAnsi="仿宋" w:eastAsia="仿宋" w:cs="仿宋"/>
          <w:sz w:val="36"/>
          <w:szCs w:val="36"/>
        </w:rPr>
        <w:t>5</w:t>
      </w:r>
      <w:r>
        <w:rPr>
          <w:rFonts w:hint="eastAsia" w:ascii="仿宋" w:hAnsi="仿宋" w:eastAsia="仿宋" w:cs="仿宋"/>
          <w:sz w:val="36"/>
          <w:szCs w:val="36"/>
        </w:rPr>
        <w:t xml:space="preserve">年 </w:t>
      </w:r>
      <w:r>
        <w:rPr>
          <w:rFonts w:ascii="仿宋" w:hAnsi="仿宋" w:eastAsia="仿宋" w:cs="仿宋"/>
          <w:sz w:val="36"/>
          <w:szCs w:val="36"/>
        </w:rPr>
        <w:t>5</w:t>
      </w:r>
      <w:r>
        <w:rPr>
          <w:rFonts w:hint="eastAsia" w:ascii="仿宋" w:hAnsi="仿宋" w:eastAsia="仿宋" w:cs="仿宋"/>
          <w:sz w:val="36"/>
          <w:szCs w:val="36"/>
        </w:rPr>
        <w:t>月2</w:t>
      </w:r>
      <w:r>
        <w:rPr>
          <w:rFonts w:ascii="仿宋" w:hAnsi="仿宋" w:eastAsia="仿宋" w:cs="仿宋"/>
          <w:sz w:val="36"/>
          <w:szCs w:val="36"/>
        </w:rPr>
        <w:t>7</w:t>
      </w:r>
      <w:r>
        <w:rPr>
          <w:rFonts w:hint="eastAsia" w:ascii="仿宋" w:hAnsi="仿宋" w:eastAsia="仿宋" w:cs="仿宋"/>
          <w:sz w:val="36"/>
          <w:szCs w:val="36"/>
        </w:rPr>
        <w:t>日</w:t>
      </w:r>
    </w:p>
    <w:p w14:paraId="547298B0">
      <w:pPr>
        <w:jc w:val="center"/>
        <w:rPr>
          <w:rFonts w:ascii="仿宋" w:hAnsi="仿宋" w:eastAsia="仿宋" w:cs="仿宋"/>
          <w:szCs w:val="32"/>
        </w:rPr>
      </w:pPr>
    </w:p>
    <w:p w14:paraId="4699E07D">
      <w:pPr>
        <w:jc w:val="center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</w:t>
      </w:r>
    </w:p>
    <w:p w14:paraId="368C8F26">
      <w:pPr>
        <w:tabs>
          <w:tab w:val="left" w:pos="4860"/>
        </w:tabs>
        <w:spacing w:line="560" w:lineRule="exact"/>
        <w:ind w:firstLine="360" w:firstLineChars="100"/>
        <w:jc w:val="left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z w:val="36"/>
          <w:szCs w:val="36"/>
        </w:rPr>
        <w:tab/>
      </w:r>
    </w:p>
    <w:p w14:paraId="48CAA5E4">
      <w:pPr>
        <w:widowControl/>
        <w:jc w:val="left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z w:val="36"/>
          <w:szCs w:val="36"/>
        </w:rPr>
        <w:br w:type="page"/>
      </w:r>
    </w:p>
    <w:p w14:paraId="10F192B3">
      <w:pPr>
        <w:spacing w:line="600" w:lineRule="exact"/>
        <w:ind w:firstLine="948" w:firstLineChars="295"/>
        <w:rPr>
          <w:rFonts w:ascii="仿宋_GB2312" w:hAnsi="仿宋_GB2312" w:cs="仿宋_GB2312"/>
          <w:b/>
          <w:bCs/>
          <w:kern w:val="0"/>
          <w:szCs w:val="32"/>
        </w:rPr>
      </w:pPr>
      <w:r>
        <w:rPr>
          <w:rFonts w:hint="eastAsia" w:ascii="仿宋_GB2312" w:hAnsi="仿宋_GB2312" w:eastAsia="宋体" w:cs="仿宋_GB2312"/>
          <w:b/>
          <w:bCs/>
          <w:kern w:val="0"/>
          <w:szCs w:val="32"/>
        </w:rPr>
        <w:t>202</w:t>
      </w:r>
      <w:r>
        <w:rPr>
          <w:rFonts w:ascii="仿宋_GB2312" w:hAnsi="仿宋_GB2312" w:eastAsia="宋体" w:cs="仿宋_GB2312"/>
          <w:b/>
          <w:bCs/>
          <w:kern w:val="0"/>
          <w:szCs w:val="32"/>
        </w:rPr>
        <w:t>4</w:t>
      </w:r>
      <w:r>
        <w:rPr>
          <w:rFonts w:hint="eastAsia" w:ascii="仿宋_GB2312" w:hAnsi="仿宋_GB2312" w:cs="仿宋_GB2312"/>
          <w:b/>
          <w:bCs/>
          <w:kern w:val="0"/>
          <w:szCs w:val="32"/>
        </w:rPr>
        <w:t>年度</w:t>
      </w:r>
      <w:r>
        <w:rPr>
          <w:rFonts w:hint="eastAsia" w:ascii="仿宋_GB2312" w:hAnsi="仿宋_GB2312" w:eastAsia="宋体" w:cs="仿宋_GB2312"/>
          <w:b/>
          <w:bCs/>
          <w:kern w:val="0"/>
          <w:szCs w:val="32"/>
          <w:lang w:eastAsia="zh-CN"/>
        </w:rPr>
        <w:t>长春镇</w:t>
      </w:r>
      <w:r>
        <w:rPr>
          <w:rFonts w:hint="eastAsia" w:ascii="仿宋_GB2312" w:hAnsi="仿宋_GB2312" w:cs="仿宋_GB2312"/>
          <w:b/>
          <w:bCs/>
          <w:kern w:val="0"/>
          <w:szCs w:val="32"/>
        </w:rPr>
        <w:t>部门整体支出绩效自评报告</w:t>
      </w:r>
    </w:p>
    <w:p w14:paraId="6C45F44E">
      <w:pPr>
        <w:spacing w:line="600" w:lineRule="exact"/>
        <w:ind w:firstLine="630" w:firstLineChars="196"/>
        <w:jc w:val="center"/>
        <w:rPr>
          <w:rFonts w:ascii="仿宋_GB2312" w:hAnsi="仿宋_GB2312" w:cs="仿宋_GB2312"/>
          <w:b/>
          <w:bCs/>
          <w:kern w:val="0"/>
          <w:szCs w:val="32"/>
        </w:rPr>
      </w:pPr>
    </w:p>
    <w:p w14:paraId="61275174">
      <w:pPr>
        <w:spacing w:line="600" w:lineRule="exact"/>
        <w:ind w:firstLine="627" w:firstLineChars="196"/>
        <w:rPr>
          <w:rFonts w:ascii="仿宋_GB2312" w:hAnsi="仿宋_GB2312" w:cs="仿宋_GB2312"/>
          <w:kern w:val="0"/>
          <w:szCs w:val="32"/>
        </w:rPr>
      </w:pPr>
    </w:p>
    <w:p w14:paraId="51F6CAD4">
      <w:pPr>
        <w:widowControl/>
        <w:autoSpaceDN w:val="0"/>
        <w:spacing w:line="540" w:lineRule="exact"/>
        <w:ind w:firstLine="640"/>
        <w:rPr>
          <w:rFonts w:ascii="黑体" w:hAnsi="黑体" w:eastAsia="黑体" w:cs="宋体"/>
          <w:color w:val="000000"/>
          <w:kern w:val="0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Cs w:val="32"/>
        </w:rPr>
        <w:t>一、部门概况</w:t>
      </w:r>
    </w:p>
    <w:p w14:paraId="27DBE704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（一）简要介绍202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年度重点工作计划；</w:t>
      </w:r>
    </w:p>
    <w:p w14:paraId="37803901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1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执行本级人民代表大会的决议和上级国家行政机关的决定和命令，发布决定和命令。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334FB3B2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执行本行政区域内的经济和社会发展计划、预算，管理本行政区域内的经济、教育、科学、文化、卫生、体育事业和财政、民政、公安、司法行政、计划生育等行政工作。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5230B786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3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保护社会主义的全民所有的财产和劳动群众集体所有的财产，保护公民私人所有的合法财产，维护社会秩序，保障公民的人身权利、民主权利和其他权利。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7EE7E585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保护各种经济组织的合法权益。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690CE65D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5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保障少数民族的权利和尊重少数民族的风俗习惯。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3C09B2D9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6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保障宪法和法律赋予妇女的男女平等、同工同酬和婚姻自由等各项权利。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5C46F1F3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7</w:t>
      </w:r>
      <w:r>
        <w:rPr>
          <w:rFonts w:hint="eastAsia" w:ascii="仿宋_GB2312" w:hAnsi="仿宋_GB2312" w:eastAsia="宋体" w:cs="仿宋_GB2312"/>
          <w:kern w:val="0"/>
          <w:szCs w:val="32"/>
        </w:rPr>
        <w:t>．</w:t>
      </w:r>
      <w:r>
        <w:rPr>
          <w:rFonts w:hint="eastAsia" w:ascii="仿宋_GB2312" w:hAnsi="仿宋_GB2312" w:cs="仿宋_GB2312"/>
          <w:kern w:val="0"/>
          <w:szCs w:val="32"/>
        </w:rPr>
        <w:t>办理上级人民政府交办的其他事项。</w:t>
      </w:r>
      <w:r>
        <w:rPr>
          <w:rFonts w:ascii="仿宋_GB2312" w:hAnsi="仿宋_GB2312" w:cs="仿宋_GB2312"/>
          <w:kern w:val="0"/>
          <w:szCs w:val="32"/>
        </w:rPr>
        <w:t xml:space="preserve"> </w:t>
      </w:r>
    </w:p>
    <w:p w14:paraId="534FADE7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（二）部门整体支出规模、使用方向、主要内容和涉及范围。</w:t>
      </w:r>
    </w:p>
    <w:p w14:paraId="66A7BC2C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1.预算绩效方面。严格预算支出，细化预算科目，全面实施预算绩效管理一体化。</w:t>
      </w:r>
    </w:p>
    <w:p w14:paraId="6EFDDBDA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2.脱贫攻坚成效巩固方面。持续聚焦短板、查缺补漏。一是直面问题抓整改，打好脱贫成果“保卫战”。二是巩固成效谋发展，做好脱贫攻坚与乡村振兴有效衔接，加快新型产业经营主体培育和产业结构优化调整，带动农村产业兴旺发展。三是加强人居环境整治力度，打造生态宜居的“美丽乡村”。</w:t>
      </w:r>
    </w:p>
    <w:p w14:paraId="1052C06A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3.产业发展方面。一是规划特色布局，带动农业“活”起来。二是打造特色品牌，带动企业“强”起来。三是融入特色文化，带动旅游“热”起来。</w:t>
      </w:r>
    </w:p>
    <w:p w14:paraId="3EC85696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4.生态环保方面。深入践行“两山”理念，充分调动社会各方力量积极参与环境治理、生态修复和绿色发展，持续抓好环境整治，推动生态文明建设再上新台阶。一是共管共治，建设绿色家园。二是共建共享，释放绿色福利。</w:t>
      </w:r>
    </w:p>
    <w:p w14:paraId="38323279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5.项目建设方面。一是巩固提升“老基建”，加快实施村内道路提升工程，改善民众出行条件；完善和规范公墓和集中安葬点的硬件设施。二是加快培育“新动能”，充分发挥项目带动作用。</w:t>
      </w:r>
    </w:p>
    <w:p w14:paraId="38633EE2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6.民生保障方面。一是强化保障“安”民。着力解决“医”与“养”的问题。二是稳定就业“惠”民。围绕稳岗扩岗两个着力点，落实就业优先政策、落实退役军人就业保障政策。三是科教发展“助”民。全面提升全民科学素质，带动基层民众科学素质稳步提升。</w:t>
      </w:r>
    </w:p>
    <w:p w14:paraId="69288F0C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/>
          <w:kern w:val="0"/>
          <w:szCs w:val="32"/>
        </w:rPr>
        <w:t>7.社会治理方面。一是完善基</w:t>
      </w:r>
      <w:r>
        <w:rPr>
          <w:rFonts w:hint="eastAsia" w:ascii="仿宋_GB2312" w:hAnsi="仿宋_GB2312" w:cs="仿宋_GB2312"/>
          <w:kern w:val="0"/>
          <w:szCs w:val="32"/>
        </w:rPr>
        <w:t>层自治体系。构建完善基层党组织自治体系，完善</w:t>
      </w:r>
      <w:r>
        <w:rPr>
          <w:rFonts w:ascii="仿宋_GB2312" w:hAnsi="仿宋_GB2312" w:cs="仿宋_GB2312"/>
          <w:kern w:val="0"/>
          <w:szCs w:val="32"/>
        </w:rPr>
        <w:t>“一事一</w:t>
      </w:r>
      <w:r>
        <w:rPr>
          <w:rFonts w:hint="eastAsia" w:ascii="仿宋_GB2312" w:hAnsi="仿宋_GB2312" w:cs="仿宋_GB2312"/>
          <w:kern w:val="0"/>
          <w:szCs w:val="32"/>
        </w:rPr>
        <w:t>议</w:t>
      </w:r>
      <w:r>
        <w:rPr>
          <w:rFonts w:ascii="仿宋_GB2312" w:hAnsi="仿宋_GB2312" w:cs="仿宋_GB2312"/>
          <w:kern w:val="0"/>
          <w:szCs w:val="32"/>
        </w:rPr>
        <w:t>”“四</w:t>
      </w:r>
      <w:r>
        <w:rPr>
          <w:rFonts w:hint="eastAsia" w:ascii="仿宋_GB2312" w:hAnsi="仿宋_GB2312" w:cs="仿宋_GB2312"/>
          <w:kern w:val="0"/>
          <w:szCs w:val="32"/>
        </w:rPr>
        <w:t>议两公开</w:t>
      </w:r>
      <w:r>
        <w:rPr>
          <w:rFonts w:ascii="仿宋_GB2312" w:hAnsi="仿宋_GB2312" w:cs="仿宋_GB2312"/>
          <w:kern w:val="0"/>
          <w:szCs w:val="32"/>
        </w:rPr>
        <w:t>”等基</w:t>
      </w:r>
      <w:r>
        <w:rPr>
          <w:rFonts w:hint="eastAsia" w:ascii="仿宋_GB2312" w:hAnsi="仿宋_GB2312" w:cs="仿宋_GB2312"/>
          <w:kern w:val="0"/>
          <w:szCs w:val="32"/>
        </w:rPr>
        <w:t>层议事制度，健全民主决策程序。二是推进基层法治</w:t>
      </w:r>
      <w:r>
        <w:rPr>
          <w:rFonts w:ascii="仿宋_GB2312" w:hAnsi="仿宋_GB2312" w:cs="仿宋_GB2312"/>
          <w:kern w:val="0"/>
          <w:szCs w:val="32"/>
        </w:rPr>
        <w:t>建</w:t>
      </w:r>
      <w:r>
        <w:rPr>
          <w:rFonts w:hint="eastAsia" w:ascii="仿宋_GB2312" w:hAnsi="仿宋_GB2312" w:cs="仿宋_GB2312"/>
          <w:kern w:val="0"/>
          <w:szCs w:val="32"/>
        </w:rPr>
        <w:t>设。深入开展普法宣传教育活动，大力推进法治文化建设，提高农民法治意识和法治素养。三是营造基层德治氛围。建立道德激励约束机制，培育规则意识、契约精神、诚信观念</w:t>
      </w:r>
      <w:r>
        <w:rPr>
          <w:rFonts w:ascii="仿宋_GB2312" w:hAnsi="仿宋_GB2312" w:cs="仿宋_GB2312"/>
          <w:kern w:val="0"/>
          <w:szCs w:val="32"/>
        </w:rPr>
        <w:t>。</w:t>
      </w:r>
    </w:p>
    <w:p w14:paraId="3F5363FD">
      <w:pPr>
        <w:widowControl/>
        <w:autoSpaceDN w:val="0"/>
        <w:spacing w:line="560" w:lineRule="exact"/>
        <w:ind w:firstLine="645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二、</w:t>
      </w:r>
      <w:r>
        <w:rPr>
          <w:rFonts w:hint="eastAsia" w:ascii="黑体" w:hAnsi="黑体" w:eastAsia="黑体" w:cs="黑体"/>
          <w:szCs w:val="32"/>
        </w:rPr>
        <w:t>一般公共预算支出情况</w:t>
      </w:r>
    </w:p>
    <w:p w14:paraId="45F68B26">
      <w:pPr>
        <w:spacing w:line="600" w:lineRule="exact"/>
        <w:ind w:firstLine="627" w:firstLineChars="196"/>
        <w:jc w:val="left"/>
        <w:rPr>
          <w:rFonts w:ascii="仿宋_GB2312" w:hAnsi="仿宋_GB2312" w:eastAsia="宋体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（一）基本支出情况</w:t>
      </w:r>
    </w:p>
    <w:p w14:paraId="3325D9E4">
      <w:pPr>
        <w:tabs>
          <w:tab w:val="left" w:pos="4860"/>
        </w:tabs>
        <w:spacing w:line="560" w:lineRule="exact"/>
        <w:ind w:firstLine="320" w:firstLineChars="1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年本部门基本支出预算1111.78万元，主要是为保障部门正常运转、完成日常工作任务而发生的各项支出，包括用于基本工资、津贴补贴等人员经费以及办公费、印刷费、水电费、办公设备购置等公用经费</w:t>
      </w:r>
      <w:r>
        <w:rPr>
          <w:rFonts w:ascii="仿宋_GB2312" w:hAnsi="仿宋_GB2312" w:cs="仿宋_GB2312"/>
          <w:kern w:val="0"/>
          <w:szCs w:val="32"/>
        </w:rPr>
        <w:t>。</w:t>
      </w:r>
    </w:p>
    <w:p w14:paraId="6A5A2C4F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（二）项目支出情况</w:t>
      </w:r>
    </w:p>
    <w:p w14:paraId="2C999B30">
      <w:pPr>
        <w:tabs>
          <w:tab w:val="left" w:pos="4860"/>
        </w:tabs>
        <w:spacing w:line="560" w:lineRule="exact"/>
        <w:ind w:firstLine="320" w:firstLineChars="100"/>
        <w:jc w:val="left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年本部门项目支出预算1359.29万元，主要是部门为完成特定行政工作任务或事业发展目标而发生的支出，包括有关事业发展专项、专项业务费、基本建设支出等，其中：</w:t>
      </w:r>
    </w:p>
    <w:p w14:paraId="35DF3AB1">
      <w:pPr>
        <w:tabs>
          <w:tab w:val="left" w:pos="4860"/>
        </w:tabs>
        <w:spacing w:line="560" w:lineRule="exact"/>
        <w:jc w:val="left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其他人大事务支出3.88万元，主要用于人大选举、补选事务支出等方面；其他政协事务支出1.2万元，主要用于政治协商、民主选举等方面；一般行政管理事务支出131.51万元，主要用于行政运行、基层治理等方面；其他群众团体事务支出2万元，主要用于基层团委治理、组织团委专项活动等方面；其他宣传事务支出2.7万元，主要用于党报党刊订阅等方面；其他技术研究与开发支出5万元，主要用于科技示范基地建设等方面；群众文化支出1万元，主要用于群众文化宣传事务等方面；基层政权建设和社区治理支出21.6万元，主要用于加强基层社区治理、维护基层社区稳定等方面；其他城乡社区管理事务支出1万元，主要用于城乡社区治理等方面；其他农业农村支出267.8万元，主要用于农林水牧渔、乡村振兴等方面；水利工程运行与维护支出1万元，主要用于七鸭子村永兴闸维护等方面；对村民委员会和村党支部的补助支出620.6万元，主要用于发放村干部工资及转移支付等方面；其他农林水支出300万元，主要用于农村林业、水利基础设施建设等方面。</w:t>
      </w:r>
    </w:p>
    <w:p w14:paraId="7B960C3A">
      <w:pPr>
        <w:widowControl/>
        <w:autoSpaceDN w:val="0"/>
        <w:spacing w:line="540" w:lineRule="exact"/>
        <w:ind w:firstLine="640" w:firstLineChars="200"/>
        <w:rPr>
          <w:rFonts w:ascii="黑体" w:hAnsi="黑体" w:eastAsia="黑体" w:cs="宋体"/>
          <w:color w:val="000000"/>
          <w:kern w:val="0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Cs w:val="32"/>
        </w:rPr>
        <w:t>三、部门整体支出绩效情况</w:t>
      </w:r>
    </w:p>
    <w:p w14:paraId="641EEF5D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（一）总结归纳本部门（单位）预算支出的绩效目标完成情况，实现产出和取得效益的情况。</w:t>
      </w:r>
    </w:p>
    <w:p w14:paraId="49DD7070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年我镇部门整体支出绩效自评，从围绕部门职责、行业发展规范着手，以预算资金管理为主线，将运行成本、管理效率、职责效能、社会效用、可持续发展能力和服务对象满意度等指标，按202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年部门整体支出绩效自评表要求，进一步细化、量化、综合反映部门整体及核心业务工作的事实情况。</w:t>
      </w:r>
    </w:p>
    <w:p w14:paraId="70636F1C">
      <w:pPr>
        <w:tabs>
          <w:tab w:val="left" w:pos="4860"/>
        </w:tabs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Cs w:val="32"/>
        </w:rPr>
        <w:t>根据基础数据分析计算。我镇202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年部门整体支出自评综合得分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99.52</w:t>
      </w:r>
      <w:r>
        <w:rPr>
          <w:rFonts w:hint="eastAsia" w:ascii="仿宋_GB2312" w:hAnsi="仿宋_GB2312" w:cs="仿宋_GB2312"/>
          <w:kern w:val="0"/>
          <w:szCs w:val="32"/>
        </w:rPr>
        <w:t>分，其中预算执行率得分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9.52</w:t>
      </w:r>
      <w:r>
        <w:rPr>
          <w:rFonts w:hint="eastAsia" w:ascii="仿宋_GB2312" w:hAnsi="仿宋_GB2312" w:cs="仿宋_GB2312"/>
          <w:kern w:val="0"/>
          <w:szCs w:val="32"/>
        </w:rPr>
        <w:t>分、产出类指标得分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50</w:t>
      </w:r>
      <w:r>
        <w:rPr>
          <w:rFonts w:hint="eastAsia" w:ascii="仿宋_GB2312" w:hAnsi="仿宋_GB2312" w:cs="仿宋_GB2312"/>
          <w:kern w:val="0"/>
          <w:szCs w:val="32"/>
        </w:rPr>
        <w:t>分、效益指标类得分40分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。</w:t>
      </w:r>
    </w:p>
    <w:p w14:paraId="0E4E11D5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（二）未实现既定绩效目标或未完成指标任务的分析说明</w:t>
      </w:r>
    </w:p>
    <w:p w14:paraId="0CDA7C58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在时效指标中项目资金及拨付使用的年度指标值是202</w:t>
      </w:r>
      <w:r>
        <w:rPr>
          <w:rFonts w:ascii="仿宋_GB2312" w:hAnsi="仿宋_GB2312" w:cs="仿宋_GB2312"/>
          <w:kern w:val="0"/>
          <w:szCs w:val="32"/>
        </w:rPr>
        <w:t>4</w:t>
      </w:r>
      <w:r>
        <w:rPr>
          <w:rFonts w:hint="eastAsia" w:ascii="仿宋_GB2312" w:hAnsi="仿宋_GB2312" w:cs="仿宋_GB2312"/>
          <w:kern w:val="0"/>
          <w:szCs w:val="32"/>
        </w:rPr>
        <w:t>年12月，但是实际完成值是202</w:t>
      </w:r>
      <w:r>
        <w:rPr>
          <w:rFonts w:ascii="仿宋_GB2312" w:hAnsi="仿宋_GB2312" w:cs="仿宋_GB2312"/>
          <w:kern w:val="0"/>
          <w:szCs w:val="32"/>
        </w:rPr>
        <w:t>5</w:t>
      </w:r>
      <w:r>
        <w:rPr>
          <w:rFonts w:hint="eastAsia" w:ascii="仿宋_GB2312" w:hAnsi="仿宋_GB2312" w:cs="仿宋_GB2312"/>
          <w:kern w:val="0"/>
          <w:szCs w:val="32"/>
        </w:rPr>
        <w:t>年1月，主要是因为村上的各项绩效评价工作要到202</w:t>
      </w:r>
      <w:r>
        <w:rPr>
          <w:rFonts w:ascii="仿宋_GB2312" w:hAnsi="仿宋_GB2312" w:cs="仿宋_GB2312"/>
          <w:kern w:val="0"/>
          <w:szCs w:val="32"/>
        </w:rPr>
        <w:t>5</w:t>
      </w:r>
      <w:r>
        <w:rPr>
          <w:rFonts w:hint="eastAsia" w:ascii="仿宋_GB2312" w:hAnsi="仿宋_GB2312" w:cs="仿宋_GB2312"/>
          <w:kern w:val="0"/>
          <w:szCs w:val="32"/>
        </w:rPr>
        <w:t>年1月才出结果，参照绩效评价的结果，对各村的剩余支付部分进行发放。应加强资金监管，按时拨付。</w:t>
      </w:r>
    </w:p>
    <w:p w14:paraId="149D12CD">
      <w:pPr>
        <w:spacing w:line="600" w:lineRule="exact"/>
        <w:ind w:firstLine="627" w:firstLineChars="196"/>
        <w:jc w:val="left"/>
        <w:rPr>
          <w:rFonts w:ascii="仿宋_GB2312" w:hAnsi="仿宋_GB2312" w:eastAsia="宋体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三）围绕部门（单位）职责、行业发展规划，以预算资金管理为主线，总结部门（单位）资产管理和开展业务情况，从运行成本、管理效率、履职效能、社会效应、可持续发展能力和服务对象满意度等方面，衡量部门（单位）整体及核心业务实施效果。</w:t>
      </w:r>
    </w:p>
    <w:p w14:paraId="6C088228">
      <w:pPr>
        <w:spacing w:line="600" w:lineRule="exact"/>
        <w:ind w:firstLine="627" w:firstLineChars="196"/>
        <w:jc w:val="left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1.</w:t>
      </w:r>
      <w:r>
        <w:rPr>
          <w:rFonts w:hint="eastAsia" w:ascii="仿宋_GB2312" w:hAnsi="仿宋_GB2312" w:cs="仿宋_GB2312"/>
          <w:color w:val="auto"/>
          <w:kern w:val="0"/>
          <w:szCs w:val="32"/>
        </w:rPr>
        <w:t>业务管理方面</w:t>
      </w:r>
      <w:r>
        <w:rPr>
          <w:rFonts w:hint="eastAsia" w:ascii="仿宋_GB2312" w:hAnsi="仿宋_GB2312" w:cs="仿宋_GB2312"/>
          <w:kern w:val="0"/>
          <w:szCs w:val="32"/>
        </w:rPr>
        <w:t>。规模以上工业总产值超55亿元，完成固定资产投资5.5亿元，招商引资到位资金5.15亿元。实现立项争资1100万元，超额完成目标任务。新增入库固定资产投资项目14个；招商引资新引进项目3个，新开工项目4个，新投产项目5个，包装项目2个，大力培育壮大市场主体，新增市场个体工商户261户，新增企业179家，市场活力持续增强。投入677万元支持产业发展类项目33个。新增木槿种植面积1000余亩；槿康生物科技公司已建成木槿花叶萃取浓缩、花烘干粉碎、日用洗护三条生产线，木槿特色加工产业前景广阔；龙凤港村、皇家湖村柑橘、李家坪村南洞庭贡柚畅销全国；紫薇村百果园阳光玫瑰供不应求；香山村因地制宜发展茶油产业，茶油种植园已初具规模；先锋桥村吸引人才返乡创业，建成百菇园家庭农场，为乡村发展注入新活力；黄家湖实践教育基地精品研学课程广受青睐，银光运动小镇团建拓展活动深受欢迎；智慧养老社区怡康鹿园打造以“医、康、养、护、游、学、农业生产、采摘融合”为主题的养老新模式，成为全省养老行业标杆。G319长春段改扩建项目即将动工；香铺仑、过鹿坪敬老院消防改造工程已完成并投入使用；香铺仑农贸市场提质改造，新增9个功能分区；过鹿坪农贸市场及配套设施建设正在推进；紫薇村、打伞树村、甘溪港村等安置点建设项目即将交付；白鹿铺村黄土坡渠、官楼坪村黄家桥渠农村黑臭水体整治成效显著；缺牙齿食品公司扩建厂房项目、富佳科技项目征拆任务提前完工；洞庭湖区重点垸区堤防加固工程、甘溪港小河治理一期工程、黄家湖泵站水闸除险加固工程基本完工；G5513益常高速扩容工程贯穿9个村，设立两个互通，目前已全线贯通，预计年底通车。通过动态调整，新纳入监测户16户40人，消除风险户12户33人。大力推进分类帮扶，为全镇1872户5144名监测对象制定个性化帮扶措施。扎实做好易地搬迁后续帮扶工作，定向设置9个公益性岗位，160户易地搬迁安置户纳入年度产业分红；安置小区充电设施、停车棚、菜园等基础配套设施得到进一步完善。</w:t>
      </w:r>
    </w:p>
    <w:p w14:paraId="40017ABB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2．预算管理方面。制度执行总体较为有效，基本做到</w:t>
      </w:r>
      <w:r>
        <w:rPr>
          <w:rFonts w:ascii="仿宋_GB2312" w:hAnsi="仿宋_GB2312" w:cs="仿宋_GB2312"/>
          <w:kern w:val="0"/>
          <w:szCs w:val="32"/>
        </w:rPr>
        <w:br w:type="textWrapping"/>
      </w:r>
      <w:r>
        <w:rPr>
          <w:rFonts w:hint="eastAsia" w:ascii="仿宋_GB2312" w:hAnsi="仿宋_GB2312" w:cs="仿宋_GB2312"/>
          <w:kern w:val="0"/>
          <w:szCs w:val="32"/>
        </w:rPr>
        <w:t>“先有预算后又支出、无预算不支出”，但仍需进一步加强预算绩效管理，要按照“谁申请资金、谁编制目标”的原则，全面开展预算绩效目标管理，提高财政资金使用效率。</w:t>
      </w:r>
    </w:p>
    <w:p w14:paraId="55EF69FD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3．资产管理方面。建立了资产管理制度，规范了资产采购、保管、处置流程，定期进行了盘点和资产清理，总体执行较好。</w:t>
      </w:r>
    </w:p>
    <w:p w14:paraId="489C5804">
      <w:pPr>
        <w:spacing w:line="600" w:lineRule="exact"/>
        <w:ind w:firstLine="627" w:firstLineChars="196"/>
        <w:jc w:val="left"/>
        <w:rPr>
          <w:rFonts w:ascii="仿宋_GB2312" w:hAnsi="仿宋_GB2312" w:eastAsia="宋体" w:cs="仿宋_GB2312"/>
          <w:color w:val="auto"/>
          <w:kern w:val="0"/>
          <w:szCs w:val="32"/>
        </w:rPr>
      </w:pPr>
      <w:r>
        <w:rPr>
          <w:rFonts w:hint="eastAsia" w:ascii="仿宋_GB2312" w:hAnsi="仿宋_GB2312" w:cs="仿宋_GB2312"/>
          <w:color w:val="auto"/>
          <w:kern w:val="0"/>
          <w:szCs w:val="32"/>
        </w:rPr>
        <w:t>（四）加强部门整体支出绩效管理的举措。</w:t>
      </w:r>
    </w:p>
    <w:p w14:paraId="3E316FA1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一是全面做好城镇建设规划，充分运用财政调剂作用，积极争取各项优惠政策，并积极带动社会资金的投入，引导和支持企业进行产业转型提升、科技创新、开拓市场和发展生产，以培养财政收入新的增长点。二是加强财政支出管理，促进经济全面发展，严格实行“收支两条线”政策，严肃财经纪律、规范财政支出行为和细化部门预算编制。三是进一步完善各种经费使用办法，压缩行政管理开支和各种非生产性开支，严格控制部分增支因素。四是合理利用财力，保障重点项目及重点费用和社会公益事业的正常开支。五是落实好中央各项惠农政策，促进农业生产、农民增收和各项社会事业的发展，认真落实好中央各项惠农政策，进一步增加对农业的投入和各项涉农补贴资金，不断稳定发展农业生产，促进农民增收。六是继续推行城乡居民新型合作医疗制度和新农保制度。切实解决了广大农民看病难、看病贵的热点问题。七是继续实行国库集中支付制度，严格资金支出范围和审批程序，严格执行公用经费定额标准。八是切实抓好债务管理工作，锁定债务基数，严格控制新增债务。九是加强村级财务管理，完善“村账镇代管”制度。十是加强财政队伍建设，完善财政管理机制，推进财务人员依法行政，依法理财。</w:t>
      </w:r>
    </w:p>
    <w:p w14:paraId="7EEADEDD">
      <w:pPr>
        <w:widowControl/>
        <w:autoSpaceDN w:val="0"/>
        <w:spacing w:line="540" w:lineRule="exact"/>
        <w:rPr>
          <w:rFonts w:ascii="黑体" w:hAnsi="黑体" w:eastAsia="黑体" w:cs="宋体"/>
          <w:color w:val="000000"/>
          <w:kern w:val="0"/>
          <w:szCs w:val="32"/>
        </w:rPr>
      </w:pPr>
      <w:r>
        <w:rPr>
          <w:rFonts w:ascii="??_GB2312" w:hAnsi="仿宋" w:eastAsia="Times New Roman" w:cs="宋体"/>
          <w:color w:val="000000"/>
          <w:kern w:val="0"/>
          <w:szCs w:val="32"/>
        </w:rPr>
        <w:t xml:space="preserve">    </w:t>
      </w:r>
      <w:r>
        <w:rPr>
          <w:rFonts w:hint="eastAsia" w:ascii="??_GB2312" w:hAnsi="仿宋" w:cs="宋体"/>
          <w:color w:val="000000"/>
          <w:kern w:val="0"/>
          <w:szCs w:val="32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Cs w:val="32"/>
        </w:rPr>
        <w:t>四、总体评价和自评得分情况</w:t>
      </w:r>
    </w:p>
    <w:p w14:paraId="4EB3A9D4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根据评价体系，我单位自评得分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99.52</w:t>
      </w:r>
      <w:r>
        <w:rPr>
          <w:rFonts w:hint="eastAsia" w:ascii="仿宋_GB2312" w:hAnsi="仿宋_GB2312" w:cs="仿宋_GB2312"/>
          <w:kern w:val="0"/>
          <w:szCs w:val="32"/>
        </w:rPr>
        <w:t>分，自评结果为优秀。</w:t>
      </w:r>
    </w:p>
    <w:p w14:paraId="38874FCC">
      <w:pPr>
        <w:pStyle w:val="10"/>
        <w:widowControl/>
        <w:spacing w:line="600" w:lineRule="exact"/>
        <w:ind w:firstLine="640"/>
        <w:jc w:val="left"/>
        <w:rPr>
          <w:rFonts w:ascii="Times New Roman" w:hAnsi="Times New Roman" w:eastAsia="黑体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Cs w:val="32"/>
        </w:rPr>
        <w:t>五、</w:t>
      </w:r>
      <w:r>
        <w:rPr>
          <w:rFonts w:hint="eastAsia" w:ascii="Times New Roman" w:hAnsi="Times New Roman" w:eastAsia="黑体"/>
          <w:szCs w:val="32"/>
        </w:rPr>
        <w:t>存在的问题及原因分析</w:t>
      </w:r>
    </w:p>
    <w:p w14:paraId="45444061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（一）部门整体支出绩效管理意识有待提高</w:t>
      </w:r>
    </w:p>
    <w:p w14:paraId="4C6A68C0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部门整体支出绩效管理工作意识有待提高，主要体现在：部门年度预算编制当中绩效目标责任意识不够，且绩效目标申报工作质量有待提高。</w:t>
      </w:r>
    </w:p>
    <w:p w14:paraId="74E37354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（二）单位日常运转所需公用经费预</w:t>
      </w:r>
      <w:bookmarkStart w:id="0" w:name="_GoBack"/>
      <w:bookmarkEnd w:id="0"/>
      <w:r>
        <w:rPr>
          <w:rFonts w:hint="eastAsia" w:ascii="仿宋_GB2312" w:hAnsi="仿宋_GB2312" w:cs="仿宋_GB2312"/>
          <w:kern w:val="0"/>
          <w:szCs w:val="32"/>
        </w:rPr>
        <w:t>算不足</w:t>
      </w:r>
    </w:p>
    <w:p w14:paraId="5B5F6414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公用经费预算资金不够充足，主要是因为预算编制是在每年的9月份开始，新增人员一般是在当年的10月以后才入编，无法及时编入当年度预算，只能在第二年进行预算调整，在此期间存在经费缺口。</w:t>
      </w:r>
    </w:p>
    <w:p w14:paraId="76F33C93">
      <w:pPr>
        <w:widowControl/>
        <w:spacing w:line="600" w:lineRule="exact"/>
        <w:ind w:firstLine="640" w:firstLineChars="200"/>
        <w:jc w:val="left"/>
        <w:rPr>
          <w:rFonts w:eastAsia="黑体"/>
          <w:szCs w:val="32"/>
        </w:rPr>
      </w:pPr>
      <w:r>
        <w:rPr>
          <w:rFonts w:hint="eastAsia" w:eastAsia="黑体"/>
          <w:szCs w:val="32"/>
        </w:rPr>
        <w:t>六、下一步改进措施</w:t>
      </w:r>
    </w:p>
    <w:p w14:paraId="52F0B8F6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针对上述存在的问题及对外整体支出管理工作的需要，拟实施的改进措施如下：</w:t>
      </w:r>
    </w:p>
    <w:p w14:paraId="4625B798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eastAsia="宋体" w:cs="仿宋_GB2312"/>
          <w:kern w:val="0"/>
          <w:szCs w:val="32"/>
        </w:rPr>
        <w:t>（一）</w:t>
      </w:r>
      <w:r>
        <w:rPr>
          <w:rFonts w:hint="eastAsia" w:ascii="仿宋_GB2312" w:hAnsi="仿宋_GB2312" w:cs="仿宋_GB2312"/>
          <w:kern w:val="0"/>
          <w:szCs w:val="32"/>
        </w:rPr>
        <w:t>进一步加强单位内部机构个股室的预算管理意识，严格按照预算编制的相关制度和要求进行预算编制，进一步提高预算编制的科学性、严谨性和可控性，加强内部预算编制的审核和预算控制指标的下达。</w:t>
      </w:r>
    </w:p>
    <w:p w14:paraId="25DC9096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eastAsia="宋体" w:cs="仿宋_GB2312"/>
          <w:kern w:val="0"/>
          <w:szCs w:val="32"/>
        </w:rPr>
        <w:t>（二）</w:t>
      </w:r>
      <w:r>
        <w:rPr>
          <w:rFonts w:hint="eastAsia" w:ascii="仿宋_GB2312" w:hAnsi="仿宋_GB2312" w:cs="仿宋_GB2312"/>
          <w:kern w:val="0"/>
          <w:szCs w:val="32"/>
        </w:rPr>
        <w:t>加强单位财务管理，健全单位财务管理制度体系，规范单位财务行为。在费用报账支付时，按照预算规定的费用项目和用途进行资金使用审核、列报支付、财务核算，杜绝超支现象的发生。</w:t>
      </w:r>
    </w:p>
    <w:p w14:paraId="7690ACA8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eastAsia="宋体" w:cs="仿宋_GB2312"/>
          <w:kern w:val="0"/>
          <w:szCs w:val="32"/>
        </w:rPr>
        <w:t>（三）</w:t>
      </w:r>
      <w:r>
        <w:rPr>
          <w:rFonts w:hint="eastAsia" w:ascii="仿宋_GB2312" w:hAnsi="仿宋_GB2312" w:cs="仿宋_GB2312"/>
          <w:kern w:val="0"/>
          <w:szCs w:val="32"/>
        </w:rPr>
        <w:t>严格编制政府采购年初预算和计划，规范各类资产的购置审批制度、资产采购制度、使用管理制度、资产处置和报废审批制度、资产管理岗位职责制度等。严格控制“三公”经费的规模和比例，把关“三公”经费支出的审核、审批，进一步细化“三公”经费的管理，合理压缩“三公”经费支出。</w:t>
      </w:r>
    </w:p>
    <w:p w14:paraId="5C9C38CA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eastAsia="宋体" w:cs="仿宋_GB2312"/>
          <w:kern w:val="0"/>
          <w:szCs w:val="32"/>
        </w:rPr>
        <w:t>（四）</w:t>
      </w:r>
      <w:r>
        <w:rPr>
          <w:rFonts w:hint="eastAsia" w:ascii="仿宋_GB2312" w:hAnsi="仿宋_GB2312" w:cs="仿宋_GB2312"/>
          <w:kern w:val="0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p w14:paraId="0E25CDAC">
      <w:pPr>
        <w:widowControl/>
        <w:spacing w:line="600" w:lineRule="exact"/>
        <w:ind w:firstLine="645"/>
        <w:jc w:val="left"/>
        <w:rPr>
          <w:rFonts w:eastAsia="黑体"/>
          <w:szCs w:val="32"/>
        </w:rPr>
      </w:pPr>
      <w:r>
        <w:rPr>
          <w:rFonts w:hint="eastAsia" w:eastAsia="黑体"/>
          <w:szCs w:val="32"/>
        </w:rPr>
        <w:t>七、整体支出绩效自评结果拟应用和公开情况。</w:t>
      </w:r>
    </w:p>
    <w:p w14:paraId="38A6169E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（一）绩效自评结果拟应用</w:t>
      </w:r>
    </w:p>
    <w:p w14:paraId="188342E1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通过绩效自评，进一步掌握了资金使用情况和取得的效果， 总结了专项资金管理经验，认识到了工作中存在的问题和不足，为今后完善年初预算编制、加强资金使用管理、健全资金支出项目、提高资金绩效管理、加大资金使用效益工作提供了重要的参考依据。</w:t>
      </w:r>
    </w:p>
    <w:p w14:paraId="243BF0D9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（二）绩效自评结果公开情况</w:t>
      </w:r>
    </w:p>
    <w:p w14:paraId="3DFF35E8">
      <w:pPr>
        <w:spacing w:line="600" w:lineRule="exact"/>
        <w:ind w:firstLine="627" w:firstLineChars="196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此次绩效自评报告将在资阳区政府官网上予以全文公布，向社会公开，广泛接受群众监督。</w:t>
      </w:r>
    </w:p>
    <w:p w14:paraId="2D2FAD65">
      <w:pPr>
        <w:jc w:val="center"/>
        <w:rPr>
          <w:rFonts w:hint="eastAsia" w:ascii="仿宋" w:hAnsi="仿宋" w:eastAsia="仿宋" w:cs="仿宋"/>
          <w:sz w:val="48"/>
          <w:szCs w:val="48"/>
        </w:rPr>
      </w:pPr>
    </w:p>
    <w:p w14:paraId="5278C616">
      <w:pPr>
        <w:jc w:val="center"/>
        <w:rPr>
          <w:rFonts w:hint="eastAsia" w:ascii="仿宋" w:hAnsi="仿宋" w:eastAsia="仿宋" w:cs="仿宋"/>
          <w:sz w:val="48"/>
          <w:szCs w:val="48"/>
        </w:rPr>
      </w:pPr>
    </w:p>
    <w:p w14:paraId="0C0C1AF0">
      <w:pPr>
        <w:jc w:val="center"/>
        <w:rPr>
          <w:rFonts w:hint="eastAsia" w:ascii="仿宋" w:hAnsi="仿宋" w:eastAsia="仿宋" w:cs="仿宋"/>
          <w:sz w:val="48"/>
          <w:szCs w:val="48"/>
        </w:rPr>
      </w:pPr>
    </w:p>
    <w:p w14:paraId="2323B3D3">
      <w:pPr>
        <w:spacing w:line="600" w:lineRule="exact"/>
        <w:jc w:val="left"/>
        <w:rPr>
          <w:rFonts w:ascii="仿宋_GB2312" w:hAnsi="仿宋_GB2312" w:cs="仿宋_GB2312"/>
          <w:kern w:val="0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77"/>
    <w:rsid w:val="00000877"/>
    <w:rsid w:val="0004103D"/>
    <w:rsid w:val="0008547B"/>
    <w:rsid w:val="000B39D8"/>
    <w:rsid w:val="002A26B0"/>
    <w:rsid w:val="004327A1"/>
    <w:rsid w:val="00486B31"/>
    <w:rsid w:val="004A3DCE"/>
    <w:rsid w:val="00566613"/>
    <w:rsid w:val="00586A97"/>
    <w:rsid w:val="0061011D"/>
    <w:rsid w:val="00723F21"/>
    <w:rsid w:val="00737DFF"/>
    <w:rsid w:val="007477EB"/>
    <w:rsid w:val="00892624"/>
    <w:rsid w:val="0093400A"/>
    <w:rsid w:val="00BC26D0"/>
    <w:rsid w:val="00BE1282"/>
    <w:rsid w:val="00C41FAA"/>
    <w:rsid w:val="00D91A64"/>
    <w:rsid w:val="00DD6382"/>
    <w:rsid w:val="00E34488"/>
    <w:rsid w:val="00E90074"/>
    <w:rsid w:val="1E94275B"/>
    <w:rsid w:val="23215713"/>
    <w:rsid w:val="4B076291"/>
    <w:rsid w:val="5A912D0B"/>
    <w:rsid w:val="60C47ACF"/>
    <w:rsid w:val="6D7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Calibri" w:hAnsi="Calibri" w:eastAsia="仿宋_GB2312"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11">
    <w:name w:val="15"/>
    <w:basedOn w:val="6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10</Pages>
  <Words>4525</Words>
  <Characters>4663</Characters>
  <Lines>34</Lines>
  <Paragraphs>9</Paragraphs>
  <TotalTime>7</TotalTime>
  <ScaleCrop>false</ScaleCrop>
  <LinksUpToDate>false</LinksUpToDate>
  <CharactersWithSpaces>4688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2025-05-30T02:48:00Z</dcterms:created>
  <dc:creator>Windows 用户</dc:creator>
  <cp:lastModifiedBy>李芊芊芊芊</cp:lastModifiedBy>
  <dcterms:modified xsi:type="dcterms:W3CDTF">2025-09-29T07:15:05Z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eyJoZGlkIjoiZWZmNzg2NTM2MTRiYzkzNWE1NzhlN2UxMDdiMDQ5MmMiLCJ1c2VySWQiOiI0MTMwNzExNjgifQ==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B5C7B20E93FB4B0487CB03B1ED64B7C5_13</vt:lpwstr>
  </property>
</Properties>
</file>